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6720"/>
        <w:gridCol w:w="1843"/>
        <w:gridCol w:w="3489"/>
      </w:tblGrid>
      <w:tr w:rsidR="00C44ABF" w:rsidRPr="00233C04" w14:paraId="40A97B34" w14:textId="77777777" w:rsidTr="00BA0CD5">
        <w:trPr>
          <w:trHeight w:val="958"/>
          <w:jc w:val="center"/>
        </w:trPr>
        <w:tc>
          <w:tcPr>
            <w:tcW w:w="15650" w:type="dxa"/>
            <w:gridSpan w:val="5"/>
            <w:tcBorders>
              <w:top w:val="single" w:sz="12" w:space="0" w:color="2E74B5"/>
              <w:left w:val="single" w:sz="24" w:space="0" w:color="2E74B5"/>
              <w:bottom w:val="single" w:sz="12" w:space="0" w:color="2E74B5"/>
              <w:right w:val="single" w:sz="24" w:space="0" w:color="2E74B5"/>
            </w:tcBorders>
            <w:shd w:val="clear" w:color="auto" w:fill="BDD6EE"/>
          </w:tcPr>
          <w:p w14:paraId="38E1FA54" w14:textId="77777777" w:rsidR="00C44ABF" w:rsidRPr="00233C04" w:rsidRDefault="00C44ABF" w:rsidP="00BA0CD5">
            <w:pPr>
              <w:tabs>
                <w:tab w:val="left" w:pos="2190"/>
                <w:tab w:val="left" w:pos="2544"/>
              </w:tabs>
              <w:spacing w:before="120" w:after="120"/>
              <w:jc w:val="center"/>
              <w:rPr>
                <w:b/>
                <w:sz w:val="23"/>
                <w:szCs w:val="23"/>
              </w:rPr>
            </w:pPr>
            <w:r w:rsidRPr="00233C04">
              <w:rPr>
                <w:b/>
                <w:sz w:val="23"/>
                <w:szCs w:val="23"/>
              </w:rPr>
              <w:t>СПРАВКА</w:t>
            </w:r>
          </w:p>
          <w:p w14:paraId="504D4DAB" w14:textId="77777777" w:rsidR="000C1142" w:rsidRPr="00C44ABF" w:rsidRDefault="00C44ABF" w:rsidP="00BA0CD5">
            <w:pPr>
              <w:tabs>
                <w:tab w:val="left" w:pos="2190"/>
                <w:tab w:val="left" w:pos="2544"/>
              </w:tabs>
              <w:spacing w:before="120" w:after="120"/>
              <w:jc w:val="center"/>
              <w:rPr>
                <w:bCs/>
                <w:sz w:val="23"/>
                <w:szCs w:val="23"/>
              </w:rPr>
            </w:pPr>
            <w:r w:rsidRPr="00233C04">
              <w:rPr>
                <w:b/>
                <w:sz w:val="23"/>
                <w:szCs w:val="23"/>
              </w:rPr>
              <w:t xml:space="preserve">ЗА ОТРАЗЯВАНЕ НА ПОСТЪПИЛИТЕ ПРЕДЛОЖЕНИЯ </w:t>
            </w:r>
            <w:r>
              <w:rPr>
                <w:b/>
                <w:sz w:val="23"/>
                <w:szCs w:val="23"/>
              </w:rPr>
              <w:t xml:space="preserve">И СТАНОВИЩА </w:t>
            </w:r>
            <w:r w:rsidRPr="00233C04">
              <w:rPr>
                <w:b/>
                <w:sz w:val="23"/>
                <w:szCs w:val="23"/>
              </w:rPr>
              <w:t xml:space="preserve">ОТ ОБЩЕСТВЕНИТЕ КОНСУЛТАЦИИ </w:t>
            </w:r>
            <w:r>
              <w:rPr>
                <w:b/>
                <w:sz w:val="23"/>
                <w:szCs w:val="23"/>
                <w:lang w:val="en-US"/>
              </w:rPr>
              <w:t>ПО</w:t>
            </w:r>
            <w:r w:rsidR="000C1142">
              <w:rPr>
                <w:b/>
                <w:sz w:val="23"/>
                <w:szCs w:val="23"/>
              </w:rPr>
              <w:t xml:space="preserve"> </w:t>
            </w:r>
            <w:r w:rsidR="000C1142">
              <w:rPr>
                <w:bCs/>
                <w:sz w:val="23"/>
                <w:szCs w:val="23"/>
              </w:rPr>
              <w:t>проекта на m</w:t>
            </w:r>
            <w:r w:rsidR="000C1142" w:rsidRPr="000C1142">
              <w:rPr>
                <w:bCs/>
                <w:sz w:val="23"/>
                <w:szCs w:val="23"/>
              </w:rPr>
              <w:t>рограма за трансгранично сътрудничество ИНТЕРРЕГ ИПП България - Турция 2021-2027</w:t>
            </w:r>
          </w:p>
        </w:tc>
      </w:tr>
      <w:tr w:rsidR="00C44ABF" w:rsidRPr="00233C04" w14:paraId="4B0C5EE5" w14:textId="77777777" w:rsidTr="00F65258">
        <w:trPr>
          <w:trHeight w:val="565"/>
          <w:jc w:val="center"/>
        </w:trPr>
        <w:tc>
          <w:tcPr>
            <w:tcW w:w="622" w:type="dxa"/>
            <w:tcBorders>
              <w:top w:val="single" w:sz="12" w:space="0" w:color="2E74B5"/>
              <w:left w:val="single" w:sz="24" w:space="0" w:color="2E74B5"/>
              <w:bottom w:val="single" w:sz="12" w:space="0" w:color="2E74B5"/>
              <w:right w:val="single" w:sz="18" w:space="0" w:color="2E74B5"/>
            </w:tcBorders>
            <w:shd w:val="clear" w:color="auto" w:fill="DEEAF6"/>
            <w:vAlign w:val="center"/>
          </w:tcPr>
          <w:p w14:paraId="40E84AD0" w14:textId="77777777" w:rsidR="00C44ABF" w:rsidRPr="00233C04" w:rsidRDefault="00C44ABF" w:rsidP="00BA0CD5">
            <w:pPr>
              <w:tabs>
                <w:tab w:val="left" w:pos="192"/>
                <w:tab w:val="left" w:pos="2544"/>
              </w:tabs>
              <w:jc w:val="center"/>
              <w:rPr>
                <w:b/>
                <w:sz w:val="23"/>
                <w:szCs w:val="23"/>
              </w:rPr>
            </w:pPr>
            <w:r w:rsidRPr="00233C04">
              <w:rPr>
                <w:b/>
                <w:sz w:val="23"/>
                <w:szCs w:val="23"/>
              </w:rPr>
              <w:t>№</w:t>
            </w:r>
          </w:p>
        </w:tc>
        <w:tc>
          <w:tcPr>
            <w:tcW w:w="2976"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2A8AEDFF" w14:textId="77777777" w:rsidR="00C44ABF" w:rsidRDefault="00C44ABF" w:rsidP="00BA0CD5">
            <w:pPr>
              <w:tabs>
                <w:tab w:val="left" w:pos="2544"/>
              </w:tabs>
              <w:jc w:val="center"/>
              <w:rPr>
                <w:b/>
                <w:sz w:val="23"/>
                <w:szCs w:val="23"/>
              </w:rPr>
            </w:pPr>
            <w:r w:rsidRPr="00233C04">
              <w:rPr>
                <w:b/>
                <w:sz w:val="23"/>
                <w:szCs w:val="23"/>
              </w:rPr>
              <w:t>Организация/потребител</w:t>
            </w:r>
          </w:p>
          <w:p w14:paraId="2ED920B6" w14:textId="77777777" w:rsidR="00C44ABF" w:rsidRPr="005424B9" w:rsidRDefault="00C44ABF" w:rsidP="00BA0CD5">
            <w:pPr>
              <w:tabs>
                <w:tab w:val="left" w:pos="2544"/>
              </w:tabs>
              <w:jc w:val="center"/>
              <w:rPr>
                <w:b/>
                <w:sz w:val="16"/>
                <w:szCs w:val="16"/>
                <w:lang w:val="en-US"/>
              </w:rPr>
            </w:pPr>
            <w:r w:rsidRPr="005424B9">
              <w:rPr>
                <w:b/>
                <w:sz w:val="16"/>
                <w:szCs w:val="16"/>
                <w:lang w:val="en-US"/>
              </w:rPr>
              <w:t>/</w:t>
            </w:r>
            <w:r w:rsidRPr="005424B9">
              <w:rPr>
                <w:b/>
                <w:sz w:val="16"/>
                <w:szCs w:val="16"/>
              </w:rPr>
              <w:t>вкл. начина на получаване на предложението</w:t>
            </w:r>
            <w:r w:rsidRPr="005424B9">
              <w:rPr>
                <w:b/>
                <w:sz w:val="16"/>
                <w:szCs w:val="16"/>
                <w:lang w:val="en-US"/>
              </w:rPr>
              <w:t>/</w:t>
            </w:r>
          </w:p>
        </w:tc>
        <w:tc>
          <w:tcPr>
            <w:tcW w:w="6720"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5AC8AE1F" w14:textId="77777777" w:rsidR="00C44ABF" w:rsidRPr="00233C04" w:rsidRDefault="00C44ABF" w:rsidP="00DE1A6A">
            <w:pPr>
              <w:jc w:val="center"/>
              <w:rPr>
                <w:b/>
                <w:sz w:val="23"/>
                <w:szCs w:val="23"/>
              </w:rPr>
            </w:pPr>
            <w:r>
              <w:rPr>
                <w:b/>
                <w:sz w:val="23"/>
                <w:szCs w:val="23"/>
              </w:rPr>
              <w:t>Предложения и становища</w:t>
            </w:r>
          </w:p>
        </w:tc>
        <w:tc>
          <w:tcPr>
            <w:tcW w:w="1843" w:type="dxa"/>
            <w:tcBorders>
              <w:top w:val="single" w:sz="12" w:space="0" w:color="2E74B5"/>
              <w:left w:val="single" w:sz="18" w:space="0" w:color="2E74B5"/>
              <w:bottom w:val="single" w:sz="12" w:space="0" w:color="2E74B5"/>
              <w:right w:val="single" w:sz="18" w:space="0" w:color="2E74B5"/>
            </w:tcBorders>
            <w:shd w:val="clear" w:color="auto" w:fill="DEEAF6"/>
            <w:vAlign w:val="center"/>
          </w:tcPr>
          <w:p w14:paraId="5FCCCA74" w14:textId="77777777" w:rsidR="00C44ABF" w:rsidRPr="00233C04" w:rsidRDefault="00C44ABF" w:rsidP="00DE1A6A">
            <w:pPr>
              <w:jc w:val="center"/>
              <w:rPr>
                <w:b/>
                <w:sz w:val="23"/>
                <w:szCs w:val="23"/>
              </w:rPr>
            </w:pPr>
            <w:r w:rsidRPr="00233C04">
              <w:rPr>
                <w:b/>
                <w:sz w:val="23"/>
                <w:szCs w:val="23"/>
              </w:rPr>
              <w:t>Приети/</w:t>
            </w:r>
          </w:p>
          <w:p w14:paraId="4E7FB342" w14:textId="77777777" w:rsidR="00C44ABF" w:rsidRPr="00233C04" w:rsidRDefault="00C44ABF" w:rsidP="00DE1A6A">
            <w:pPr>
              <w:jc w:val="center"/>
              <w:rPr>
                <w:b/>
                <w:sz w:val="23"/>
                <w:szCs w:val="23"/>
              </w:rPr>
            </w:pPr>
            <w:r w:rsidRPr="00233C04">
              <w:rPr>
                <w:b/>
                <w:sz w:val="23"/>
                <w:szCs w:val="23"/>
              </w:rPr>
              <w:t>неприети</w:t>
            </w:r>
          </w:p>
        </w:tc>
        <w:tc>
          <w:tcPr>
            <w:tcW w:w="3489" w:type="dxa"/>
            <w:tcBorders>
              <w:top w:val="single" w:sz="12" w:space="0" w:color="2E74B5"/>
              <w:left w:val="single" w:sz="18" w:space="0" w:color="2E74B5"/>
              <w:bottom w:val="single" w:sz="12" w:space="0" w:color="2E74B5"/>
              <w:right w:val="single" w:sz="24" w:space="0" w:color="2E74B5"/>
            </w:tcBorders>
            <w:shd w:val="clear" w:color="auto" w:fill="DEEAF6"/>
            <w:vAlign w:val="center"/>
          </w:tcPr>
          <w:p w14:paraId="140CD321" w14:textId="77777777" w:rsidR="00C44ABF" w:rsidRPr="00233C04" w:rsidRDefault="00C44ABF" w:rsidP="00DE1A6A">
            <w:pPr>
              <w:jc w:val="center"/>
              <w:rPr>
                <w:sz w:val="23"/>
                <w:szCs w:val="23"/>
              </w:rPr>
            </w:pPr>
            <w:r w:rsidRPr="00233C04">
              <w:rPr>
                <w:b/>
                <w:sz w:val="23"/>
                <w:szCs w:val="23"/>
              </w:rPr>
              <w:t>Мотиви</w:t>
            </w:r>
          </w:p>
        </w:tc>
      </w:tr>
      <w:tr w:rsidR="00C44ABF" w:rsidRPr="00233C04" w14:paraId="31B44DE3"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34A16317" w14:textId="77777777" w:rsidR="00C44ABF" w:rsidRPr="00233C04" w:rsidRDefault="00C44ABF" w:rsidP="00BA0CD5">
            <w:pPr>
              <w:numPr>
                <w:ilvl w:val="0"/>
                <w:numId w:val="5"/>
              </w:numPr>
              <w:tabs>
                <w:tab w:val="left" w:pos="192"/>
                <w:tab w:val="left" w:pos="2544"/>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8" w:space="0" w:color="2E74B5"/>
            </w:tcBorders>
            <w:shd w:val="clear" w:color="auto" w:fill="auto"/>
            <w:vAlign w:val="center"/>
          </w:tcPr>
          <w:p w14:paraId="2E633269" w14:textId="77777777" w:rsidR="00C44ABF" w:rsidRPr="00233C04" w:rsidRDefault="000C1142" w:rsidP="00BA0CD5">
            <w:pPr>
              <w:tabs>
                <w:tab w:val="left" w:pos="2544"/>
              </w:tabs>
              <w:rPr>
                <w:b/>
              </w:rPr>
            </w:pPr>
            <w:r w:rsidRPr="000C1142">
              <w:rPr>
                <w:b/>
              </w:rPr>
              <w:t>Илиана Савова</w:t>
            </w:r>
          </w:p>
        </w:tc>
        <w:tc>
          <w:tcPr>
            <w:tcW w:w="6720" w:type="dxa"/>
            <w:tcBorders>
              <w:top w:val="single" w:sz="12" w:space="0" w:color="2E74B5"/>
              <w:left w:val="single" w:sz="18" w:space="0" w:color="2E74B5"/>
              <w:bottom w:val="single" w:sz="12" w:space="0" w:color="2E74B5"/>
              <w:right w:val="single" w:sz="18" w:space="0" w:color="2E74B5"/>
            </w:tcBorders>
            <w:shd w:val="clear" w:color="auto" w:fill="auto"/>
            <w:vAlign w:val="center"/>
          </w:tcPr>
          <w:p w14:paraId="2E91C3CE" w14:textId="77777777" w:rsidR="000C1142" w:rsidRPr="000C1142" w:rsidRDefault="000C1142" w:rsidP="000C1142">
            <w:pPr>
              <w:rPr>
                <w:sz w:val="23"/>
                <w:szCs w:val="23"/>
              </w:rPr>
            </w:pPr>
            <w:r w:rsidRPr="000C1142">
              <w:rPr>
                <w:sz w:val="23"/>
                <w:szCs w:val="23"/>
              </w:rPr>
              <w:t>По приоритет ІІ 3: По-сигурен трансграничен регион България планира да похарчи близо 2 милиона евро за укрепване на капацитета за справяне с незаконната миграция.</w:t>
            </w:r>
          </w:p>
          <w:p w14:paraId="291191A0" w14:textId="77777777" w:rsidR="000C1142" w:rsidRPr="000C1142" w:rsidRDefault="000C1142" w:rsidP="000C1142">
            <w:pPr>
              <w:rPr>
                <w:sz w:val="23"/>
                <w:szCs w:val="23"/>
              </w:rPr>
            </w:pPr>
          </w:p>
          <w:p w14:paraId="220C6E29" w14:textId="77777777" w:rsidR="000C1142" w:rsidRPr="000C1142" w:rsidRDefault="000C1142" w:rsidP="000C1142">
            <w:pPr>
              <w:rPr>
                <w:sz w:val="23"/>
                <w:szCs w:val="23"/>
              </w:rPr>
            </w:pPr>
            <w:r w:rsidRPr="000C1142">
              <w:rPr>
                <w:sz w:val="23"/>
                <w:szCs w:val="23"/>
              </w:rPr>
              <w:t>Вместо "Гранична полиция" обаче за изпълнители са посочени ОДМВР Хасково, Ямбол и Бургас, чиито функции се изразяват да ескортират задържаните от тях нередовни мигранти до най-близкото СДВНЧ. Те не изпълняват производства по връщане, които са в ресора на Дирекция "Миграция", нито реадмисия, което спада в правомощията на ГД "Гранична полиция".</w:t>
            </w:r>
          </w:p>
          <w:p w14:paraId="51EAD5DD" w14:textId="77777777" w:rsidR="000C1142" w:rsidRPr="000C1142" w:rsidRDefault="000C1142" w:rsidP="000C1142">
            <w:pPr>
              <w:rPr>
                <w:sz w:val="23"/>
                <w:szCs w:val="23"/>
              </w:rPr>
            </w:pPr>
          </w:p>
          <w:p w14:paraId="391B5740" w14:textId="77777777" w:rsidR="000C1142" w:rsidRPr="000C1142" w:rsidRDefault="000C1142" w:rsidP="000C1142">
            <w:pPr>
              <w:rPr>
                <w:sz w:val="23"/>
                <w:szCs w:val="23"/>
              </w:rPr>
            </w:pPr>
            <w:r w:rsidRPr="000C1142">
              <w:rPr>
                <w:sz w:val="23"/>
                <w:szCs w:val="23"/>
              </w:rPr>
              <w:t>Дори разследването на каналджийството и трафика на хора се провежда от органите, на чиято територия е извършено престъплението - разбирайте, на границата, което отново води до органите на ГДГП.</w:t>
            </w:r>
          </w:p>
          <w:p w14:paraId="68EF1587" w14:textId="77777777" w:rsidR="000C1142" w:rsidRPr="000C1142" w:rsidRDefault="000C1142" w:rsidP="000C1142">
            <w:pPr>
              <w:rPr>
                <w:sz w:val="23"/>
                <w:szCs w:val="23"/>
              </w:rPr>
            </w:pPr>
          </w:p>
          <w:p w14:paraId="3719CFBC" w14:textId="77777777" w:rsidR="000C1142" w:rsidRPr="000C1142" w:rsidRDefault="000C1142" w:rsidP="000C1142">
            <w:pPr>
              <w:rPr>
                <w:sz w:val="23"/>
                <w:szCs w:val="23"/>
              </w:rPr>
            </w:pPr>
            <w:r w:rsidRPr="000C1142">
              <w:rPr>
                <w:sz w:val="23"/>
                <w:szCs w:val="23"/>
              </w:rPr>
              <w:t>Въпросът ми е какъв точно капацитет ще изграждат въпросните ОДМВР за противодействие на незаконната миграция в трансграничните зони и защо това ще струва 2 милиона на европейските данъкоплатци, между които и ние - българските граждани?</w:t>
            </w:r>
          </w:p>
          <w:p w14:paraId="74432427" w14:textId="77777777" w:rsidR="000C1142" w:rsidRPr="000C1142" w:rsidRDefault="000C1142" w:rsidP="000C1142">
            <w:pPr>
              <w:rPr>
                <w:sz w:val="23"/>
                <w:szCs w:val="23"/>
              </w:rPr>
            </w:pPr>
          </w:p>
          <w:p w14:paraId="4ECEE999" w14:textId="77777777" w:rsidR="00C44ABF" w:rsidRPr="00233C04" w:rsidRDefault="000C1142" w:rsidP="000C1142">
            <w:pPr>
              <w:rPr>
                <w:sz w:val="23"/>
                <w:szCs w:val="23"/>
              </w:rPr>
            </w:pPr>
            <w:r w:rsidRPr="000C1142">
              <w:rPr>
                <w:sz w:val="23"/>
                <w:szCs w:val="23"/>
              </w:rPr>
              <w:t>Не стига ли 1 милиард лева годишен  бюджет на МВР?</w:t>
            </w:r>
          </w:p>
        </w:tc>
        <w:tc>
          <w:tcPr>
            <w:tcW w:w="1843" w:type="dxa"/>
            <w:tcBorders>
              <w:top w:val="single" w:sz="12" w:space="0" w:color="2E74B5"/>
              <w:left w:val="single" w:sz="18" w:space="0" w:color="2E74B5"/>
              <w:bottom w:val="single" w:sz="12" w:space="0" w:color="2E74B5"/>
              <w:right w:val="single" w:sz="18" w:space="0" w:color="2E74B5"/>
            </w:tcBorders>
            <w:shd w:val="clear" w:color="auto" w:fill="auto"/>
            <w:vAlign w:val="center"/>
          </w:tcPr>
          <w:p w14:paraId="72E46F1E" w14:textId="77777777" w:rsidR="00C44ABF" w:rsidRPr="000C1142" w:rsidRDefault="000C1142" w:rsidP="00C44ABF">
            <w:pPr>
              <w:jc w:val="center"/>
              <w:rPr>
                <w:b/>
                <w:sz w:val="23"/>
                <w:szCs w:val="23"/>
              </w:rPr>
            </w:pPr>
            <w:r>
              <w:rPr>
                <w:b/>
                <w:sz w:val="23"/>
                <w:szCs w:val="23"/>
              </w:rPr>
              <w:t>Н/П</w:t>
            </w:r>
          </w:p>
        </w:tc>
        <w:tc>
          <w:tcPr>
            <w:tcW w:w="3489" w:type="dxa"/>
            <w:tcBorders>
              <w:top w:val="single" w:sz="12" w:space="0" w:color="2E74B5"/>
              <w:left w:val="single" w:sz="18" w:space="0" w:color="2E74B5"/>
              <w:bottom w:val="single" w:sz="12" w:space="0" w:color="2E74B5"/>
              <w:right w:val="single" w:sz="24" w:space="0" w:color="2E74B5"/>
            </w:tcBorders>
            <w:shd w:val="clear" w:color="auto" w:fill="auto"/>
            <w:vAlign w:val="center"/>
          </w:tcPr>
          <w:p w14:paraId="4087B840" w14:textId="77777777" w:rsidR="00C44ABF" w:rsidRPr="000C1142" w:rsidRDefault="000C1142" w:rsidP="000C1142">
            <w:pPr>
              <w:jc w:val="both"/>
              <w:rPr>
                <w:sz w:val="23"/>
                <w:szCs w:val="23"/>
              </w:rPr>
            </w:pPr>
            <w:r w:rsidRPr="000C1142">
              <w:rPr>
                <w:sz w:val="23"/>
                <w:szCs w:val="23"/>
              </w:rPr>
              <w:t xml:space="preserve">Целта на проекта е да подкрепи правоприлагащите органи в трансграничния регион (от двете страни на границата, не само от българска страна) да се справят със специфичните предизвикателства, свързани със сигурността и хуманитарните въпроси, произтичащи от незаконната миграция, чрез сътрудничество и солидарност. През последните години преките задължения на Областните дирекции на МВР за справяне с увеличения миграционен поток и последиците от него в трансграничната зона се умножават. Един от основните приоритети от 2013 г. до момента е идентифицирането на незаконно преминаващи и незаконно пребиваващи лица, участващи в престъпни организации или такива потенциални извършители на престъпления, свързани с трафик на хора, наркотици, оръжия или дейности, свързани с екстремизъм, радикализация или тероризъм. Тези процеси са сред факторите, влияещи негативно върху средата за сигурност, и същевременно генерират други </w:t>
            </w:r>
            <w:r w:rsidRPr="000C1142">
              <w:rPr>
                <w:sz w:val="23"/>
                <w:szCs w:val="23"/>
              </w:rPr>
              <w:lastRenderedPageBreak/>
              <w:t>видове престъпност и  допринасят за ескалация на напрежението в граничните райони. В същото време ОДМВР не са сред бенефицинетите по  "Фонд вътрешна сигурност". От турска страна партньори по проекта ще бъдат управите на Одрин и на Къркларели.</w:t>
            </w:r>
          </w:p>
        </w:tc>
      </w:tr>
      <w:tr w:rsidR="000C1142" w:rsidRPr="00233C04" w14:paraId="77B2D1C4"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6D1CC0BF" w14:textId="77777777" w:rsidR="000C1142" w:rsidRPr="00233C04" w:rsidRDefault="000C1142" w:rsidP="00BA0CD5">
            <w:pPr>
              <w:numPr>
                <w:ilvl w:val="0"/>
                <w:numId w:val="5"/>
              </w:numPr>
              <w:tabs>
                <w:tab w:val="left" w:pos="192"/>
                <w:tab w:val="left" w:pos="2544"/>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031B63F0" w14:textId="77777777" w:rsidR="000C1142" w:rsidRPr="00C44ABF" w:rsidRDefault="00D11588" w:rsidP="00BA0CD5">
            <w:pPr>
              <w:tabs>
                <w:tab w:val="left" w:pos="2544"/>
              </w:tabs>
              <w:rPr>
                <w:b/>
              </w:rPr>
            </w:pPr>
            <w:r w:rsidRPr="00D11588">
              <w:rPr>
                <w:b/>
              </w:rPr>
              <w:t>Спортен клуб по бойни изкуства "Хикари" Бургас, VeliAslan</w:t>
            </w:r>
          </w:p>
        </w:tc>
        <w:tc>
          <w:tcPr>
            <w:tcW w:w="6720"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4CD5AE1A" w14:textId="77777777" w:rsidR="00D11588" w:rsidRPr="00BA0CD5" w:rsidRDefault="00D11588" w:rsidP="00D11588">
            <w:pPr>
              <w:rPr>
                <w:sz w:val="23"/>
                <w:szCs w:val="23"/>
              </w:rPr>
            </w:pPr>
            <w:r w:rsidRPr="00BA0CD5">
              <w:rPr>
                <w:sz w:val="23"/>
                <w:szCs w:val="23"/>
              </w:rPr>
              <w:t>По П2 – ИНТЕГРИРАНО РАЗВИТИЕ НА ТРАНСГРАНИЧНИЯ РЕГИОН</w:t>
            </w:r>
          </w:p>
          <w:p w14:paraId="3C84F2F7" w14:textId="77777777" w:rsidR="00D11588" w:rsidRPr="00BA0CD5" w:rsidRDefault="00D11588" w:rsidP="00D11588">
            <w:pPr>
              <w:rPr>
                <w:sz w:val="23"/>
                <w:szCs w:val="23"/>
              </w:rPr>
            </w:pPr>
            <w:r w:rsidRPr="00BA0CD5">
              <w:rPr>
                <w:sz w:val="23"/>
                <w:szCs w:val="23"/>
              </w:rPr>
              <w:t>Забелязваме, че по програмата няма предвидени средства насърчаване на приобщаващото развитие на младежите от двата гранични региона в областта на спорта. Разработване на съвместни регионални спортни дейности  и обмен на знания и опит между спортни организации от двата региона, действия за насърчаване на младото поколение към здравословен начин на живот и физическа активност, съвместни обучения и обмен на опит.</w:t>
            </w:r>
          </w:p>
          <w:p w14:paraId="5369BE34" w14:textId="77777777" w:rsidR="00D11588" w:rsidRPr="00BA0CD5" w:rsidRDefault="00D11588" w:rsidP="00D11588">
            <w:pPr>
              <w:rPr>
                <w:sz w:val="23"/>
                <w:szCs w:val="23"/>
              </w:rPr>
            </w:pPr>
          </w:p>
          <w:p w14:paraId="1AB2ADE1" w14:textId="77777777" w:rsidR="000C1142" w:rsidRPr="00BA0CD5" w:rsidRDefault="00D11588" w:rsidP="00D11588">
            <w:pPr>
              <w:rPr>
                <w:sz w:val="23"/>
                <w:szCs w:val="23"/>
              </w:rPr>
            </w:pPr>
            <w:r w:rsidRPr="00BA0CD5">
              <w:rPr>
                <w:sz w:val="23"/>
                <w:szCs w:val="23"/>
              </w:rPr>
              <w:t>Сферата на младежта и спорта, които са ключови приоритети на ЕС, не са застъпени по никакъв начин в програмата, което виждаме като съществен недостатък.</w:t>
            </w:r>
          </w:p>
        </w:tc>
        <w:tc>
          <w:tcPr>
            <w:tcW w:w="1843"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3C5542C" w14:textId="77777777" w:rsidR="000C1142" w:rsidRPr="00C44ABF" w:rsidRDefault="00D11588" w:rsidP="00C44ABF">
            <w:pPr>
              <w:jc w:val="center"/>
              <w:rPr>
                <w:b/>
                <w:sz w:val="23"/>
                <w:szCs w:val="23"/>
              </w:rPr>
            </w:pPr>
            <w:r w:rsidRPr="00D11588">
              <w:rPr>
                <w:b/>
                <w:sz w:val="23"/>
                <w:szCs w:val="23"/>
              </w:rPr>
              <w:t>неприет</w:t>
            </w:r>
          </w:p>
        </w:tc>
        <w:tc>
          <w:tcPr>
            <w:tcW w:w="3489" w:type="dxa"/>
            <w:tcBorders>
              <w:top w:val="single" w:sz="12" w:space="0" w:color="2E74B5"/>
              <w:left w:val="single" w:sz="12" w:space="0" w:color="2E74B5"/>
              <w:bottom w:val="single" w:sz="12" w:space="0" w:color="2E74B5"/>
              <w:right w:val="single" w:sz="24" w:space="0" w:color="2E74B5"/>
            </w:tcBorders>
            <w:shd w:val="clear" w:color="auto" w:fill="auto"/>
            <w:vAlign w:val="center"/>
          </w:tcPr>
          <w:p w14:paraId="543B081B" w14:textId="2E90F27D" w:rsidR="00960584" w:rsidRPr="00F65258" w:rsidRDefault="00D11588" w:rsidP="00943FEC">
            <w:pPr>
              <w:jc w:val="both"/>
              <w:rPr>
                <w:sz w:val="23"/>
                <w:szCs w:val="23"/>
                <w:lang w:val="en-US"/>
              </w:rPr>
            </w:pPr>
            <w:r w:rsidRPr="00D11588">
              <w:rPr>
                <w:sz w:val="23"/>
                <w:szCs w:val="23"/>
              </w:rPr>
              <w:t>Изпълнението на Приоритет 2 "Интергрирано развитие на трансграничния регион" се базира на Интегрирана териториална стратегия</w:t>
            </w:r>
            <w:r w:rsidR="00F527E7">
              <w:rPr>
                <w:sz w:val="23"/>
                <w:szCs w:val="23"/>
              </w:rPr>
              <w:t xml:space="preserve"> (ИТС)</w:t>
            </w:r>
            <w:r w:rsidRPr="00D11588">
              <w:rPr>
                <w:sz w:val="23"/>
                <w:szCs w:val="23"/>
              </w:rPr>
              <w:t xml:space="preserve">, разработена от местните заинтересовани лица с помощта на </w:t>
            </w:r>
            <w:r w:rsidR="00F527E7" w:rsidRPr="00D11588">
              <w:rPr>
                <w:sz w:val="23"/>
                <w:szCs w:val="23"/>
              </w:rPr>
              <w:t>к</w:t>
            </w:r>
            <w:r w:rsidR="00F527E7">
              <w:rPr>
                <w:sz w:val="23"/>
                <w:szCs w:val="23"/>
              </w:rPr>
              <w:t>о</w:t>
            </w:r>
            <w:r w:rsidR="00F527E7" w:rsidRPr="00D11588">
              <w:rPr>
                <w:sz w:val="23"/>
                <w:szCs w:val="23"/>
              </w:rPr>
              <w:t>нсултант</w:t>
            </w:r>
            <w:r w:rsidRPr="00D11588">
              <w:rPr>
                <w:sz w:val="23"/>
                <w:szCs w:val="23"/>
              </w:rPr>
              <w:t xml:space="preserve">. </w:t>
            </w:r>
            <w:r w:rsidR="00433EEC">
              <w:rPr>
                <w:sz w:val="23"/>
                <w:szCs w:val="23"/>
              </w:rPr>
              <w:t>Проекти в сферата на р</w:t>
            </w:r>
            <w:r w:rsidR="00C85D2B" w:rsidRPr="00C85D2B">
              <w:rPr>
                <w:sz w:val="23"/>
                <w:szCs w:val="23"/>
              </w:rPr>
              <w:t xml:space="preserve">азвитие </w:t>
            </w:r>
            <w:r w:rsidR="00C85D2B">
              <w:rPr>
                <w:sz w:val="23"/>
                <w:szCs w:val="23"/>
              </w:rPr>
              <w:t>на младежта и спорта</w:t>
            </w:r>
            <w:r w:rsidR="00C85D2B" w:rsidRPr="00C85D2B">
              <w:rPr>
                <w:sz w:val="23"/>
                <w:szCs w:val="23"/>
              </w:rPr>
              <w:t>,</w:t>
            </w:r>
            <w:r w:rsidR="00F527E7">
              <w:rPr>
                <w:sz w:val="23"/>
                <w:szCs w:val="23"/>
              </w:rPr>
              <w:t xml:space="preserve"> мо</w:t>
            </w:r>
            <w:r w:rsidR="00433EEC">
              <w:rPr>
                <w:sz w:val="23"/>
                <w:szCs w:val="23"/>
              </w:rPr>
              <w:t>гат</w:t>
            </w:r>
            <w:r w:rsidR="00F527E7">
              <w:rPr>
                <w:sz w:val="23"/>
                <w:szCs w:val="23"/>
              </w:rPr>
              <w:t xml:space="preserve">  да бъд</w:t>
            </w:r>
            <w:r w:rsidR="00433EEC">
              <w:rPr>
                <w:sz w:val="23"/>
                <w:szCs w:val="23"/>
              </w:rPr>
              <w:t>ат</w:t>
            </w:r>
            <w:r w:rsidR="00F527E7">
              <w:rPr>
                <w:sz w:val="23"/>
                <w:szCs w:val="23"/>
              </w:rPr>
              <w:t xml:space="preserve"> </w:t>
            </w:r>
            <w:r w:rsidR="00433EEC">
              <w:rPr>
                <w:sz w:val="23"/>
                <w:szCs w:val="23"/>
              </w:rPr>
              <w:t>реализирани в рамките на</w:t>
            </w:r>
            <w:r w:rsidR="00F527E7">
              <w:rPr>
                <w:sz w:val="23"/>
                <w:szCs w:val="23"/>
              </w:rPr>
              <w:t xml:space="preserve"> интегриран проект </w:t>
            </w:r>
            <w:r w:rsidR="00C85D2B" w:rsidRPr="00C85D2B">
              <w:rPr>
                <w:sz w:val="23"/>
                <w:szCs w:val="23"/>
              </w:rPr>
              <w:t xml:space="preserve"> в обхвата на </w:t>
            </w:r>
            <w:r w:rsidR="00F527E7">
              <w:rPr>
                <w:sz w:val="23"/>
                <w:szCs w:val="23"/>
              </w:rPr>
              <w:t>Специфична цел</w:t>
            </w:r>
            <w:r w:rsidR="00C85D2B">
              <w:rPr>
                <w:sz w:val="23"/>
                <w:szCs w:val="23"/>
              </w:rPr>
              <w:t xml:space="preserve"> </w:t>
            </w:r>
            <w:r w:rsidR="00C85D2B" w:rsidRPr="00C85D2B">
              <w:rPr>
                <w:sz w:val="23"/>
                <w:szCs w:val="23"/>
              </w:rPr>
              <w:t xml:space="preserve">2 </w:t>
            </w:r>
            <w:r w:rsidR="00F527E7">
              <w:rPr>
                <w:sz w:val="23"/>
                <w:szCs w:val="23"/>
              </w:rPr>
              <w:t>към ИТС</w:t>
            </w:r>
            <w:r w:rsidR="00E858FB">
              <w:rPr>
                <w:sz w:val="23"/>
                <w:szCs w:val="23"/>
                <w:lang w:val="en-US"/>
              </w:rPr>
              <w:t xml:space="preserve">, </w:t>
            </w:r>
            <w:r w:rsidR="00CA1680">
              <w:rPr>
                <w:sz w:val="23"/>
                <w:szCs w:val="23"/>
              </w:rPr>
              <w:t>която е насочена</w:t>
            </w:r>
            <w:r w:rsidR="00F527E7" w:rsidRPr="00C85D2B">
              <w:rPr>
                <w:sz w:val="23"/>
                <w:szCs w:val="23"/>
              </w:rPr>
              <w:t xml:space="preserve"> към дейности за разширяване на достъпността и подобряване на качеството на услугите от общ интерес</w:t>
            </w:r>
            <w:r w:rsidR="00F527E7">
              <w:rPr>
                <w:sz w:val="23"/>
                <w:szCs w:val="23"/>
              </w:rPr>
              <w:t>.</w:t>
            </w:r>
          </w:p>
        </w:tc>
      </w:tr>
      <w:tr w:rsidR="00BF0CF5" w:rsidRPr="00233C04" w14:paraId="40B853B1" w14:textId="77777777" w:rsidTr="00F65258">
        <w:trPr>
          <w:trHeight w:val="596"/>
          <w:jc w:val="center"/>
        </w:trPr>
        <w:tc>
          <w:tcPr>
            <w:tcW w:w="622" w:type="dxa"/>
            <w:tcBorders>
              <w:top w:val="single" w:sz="12" w:space="0" w:color="2E74B5"/>
              <w:left w:val="single" w:sz="24" w:space="0" w:color="2E74B5"/>
              <w:bottom w:val="single" w:sz="12" w:space="0" w:color="2E74B5"/>
              <w:right w:val="single" w:sz="12" w:space="0" w:color="2E74B5"/>
            </w:tcBorders>
            <w:shd w:val="clear" w:color="auto" w:fill="auto"/>
            <w:vAlign w:val="center"/>
          </w:tcPr>
          <w:p w14:paraId="222643DE" w14:textId="77777777" w:rsidR="00BF0CF5" w:rsidRPr="00233C04" w:rsidRDefault="00BF0CF5" w:rsidP="00BF0CF5">
            <w:pPr>
              <w:numPr>
                <w:ilvl w:val="0"/>
                <w:numId w:val="5"/>
              </w:numPr>
              <w:tabs>
                <w:tab w:val="left" w:pos="192"/>
              </w:tabs>
              <w:ind w:left="0" w:firstLine="0"/>
              <w:jc w:val="center"/>
              <w:rPr>
                <w:b/>
                <w:sz w:val="23"/>
                <w:szCs w:val="23"/>
              </w:rPr>
            </w:pPr>
          </w:p>
        </w:tc>
        <w:tc>
          <w:tcPr>
            <w:tcW w:w="2976"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31065246" w14:textId="77777777" w:rsidR="00BF0CF5" w:rsidRPr="00D11588" w:rsidRDefault="00BF0CF5" w:rsidP="00BF0CF5">
            <w:pPr>
              <w:rPr>
                <w:b/>
              </w:rPr>
            </w:pPr>
            <w:r w:rsidRPr="00BF0CF5">
              <w:rPr>
                <w:b/>
              </w:rPr>
              <w:t>Становище на БСК</w:t>
            </w:r>
          </w:p>
        </w:tc>
        <w:tc>
          <w:tcPr>
            <w:tcW w:w="6720"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5A8F0ADD" w14:textId="77777777" w:rsidR="00BF0CF5" w:rsidRPr="00BA0CD5" w:rsidRDefault="00BF0CF5" w:rsidP="00BF0CF5">
            <w:pPr>
              <w:rPr>
                <w:sz w:val="23"/>
                <w:szCs w:val="23"/>
              </w:rPr>
            </w:pPr>
            <w:r w:rsidRPr="00BA0CD5">
              <w:rPr>
                <w:sz w:val="23"/>
                <w:szCs w:val="23"/>
              </w:rPr>
              <w:t>Българска стопанска камара подкрепя по принцип предложената рамка и приоритети на Програмата за трансгранично сътрудничество.</w:t>
            </w:r>
          </w:p>
          <w:p w14:paraId="3CA0AC68" w14:textId="77777777" w:rsidR="00BF0CF5" w:rsidRPr="00BA0CD5" w:rsidRDefault="00BF0CF5" w:rsidP="00BF0CF5">
            <w:pPr>
              <w:rPr>
                <w:sz w:val="23"/>
                <w:szCs w:val="23"/>
              </w:rPr>
            </w:pPr>
            <w:r w:rsidRPr="00BA0CD5">
              <w:rPr>
                <w:sz w:val="23"/>
                <w:szCs w:val="23"/>
              </w:rPr>
              <w:t>Считаме, че приоритетите отразяват основните предизвикателства пред микро-, малките и средни предприятия (ММСП) в трансграничния регион.</w:t>
            </w:r>
          </w:p>
          <w:p w14:paraId="7B02EFBD" w14:textId="77777777" w:rsidR="00BF0CF5" w:rsidRPr="00BA0CD5" w:rsidRDefault="00BF0CF5" w:rsidP="00BF0CF5">
            <w:pPr>
              <w:rPr>
                <w:sz w:val="23"/>
                <w:szCs w:val="23"/>
              </w:rPr>
            </w:pPr>
            <w:r w:rsidRPr="00BA0CD5">
              <w:rPr>
                <w:sz w:val="23"/>
                <w:szCs w:val="23"/>
              </w:rPr>
              <w:lastRenderedPageBreak/>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14:paraId="3AB41D52" w14:textId="77777777" w:rsidR="00BF0CF5" w:rsidRPr="00BA0CD5" w:rsidRDefault="00BF0CF5" w:rsidP="00BF0CF5">
            <w:pPr>
              <w:rPr>
                <w:sz w:val="23"/>
                <w:szCs w:val="23"/>
              </w:rPr>
            </w:pPr>
            <w:r w:rsidRPr="00BA0CD5">
              <w:rPr>
                <w:sz w:val="23"/>
                <w:szCs w:val="23"/>
              </w:rPr>
              <w:t>Оставаме на разположение за последващо сътрудничество и съвместна работа по осъществяване на заложените цели и постигане на планираните резултати на така изготвената Програма.</w:t>
            </w:r>
          </w:p>
        </w:tc>
        <w:tc>
          <w:tcPr>
            <w:tcW w:w="1843" w:type="dxa"/>
            <w:tcBorders>
              <w:top w:val="single" w:sz="12" w:space="0" w:color="2E74B5"/>
              <w:left w:val="single" w:sz="12" w:space="0" w:color="2E74B5"/>
              <w:bottom w:val="single" w:sz="12" w:space="0" w:color="2E74B5"/>
              <w:right w:val="single" w:sz="12" w:space="0" w:color="2E74B5"/>
            </w:tcBorders>
            <w:shd w:val="clear" w:color="auto" w:fill="auto"/>
            <w:vAlign w:val="center"/>
          </w:tcPr>
          <w:p w14:paraId="2AD5AFC7" w14:textId="77777777" w:rsidR="00BF0CF5" w:rsidRPr="000C1142" w:rsidRDefault="00BF0CF5" w:rsidP="00BF0CF5">
            <w:pPr>
              <w:jc w:val="center"/>
              <w:rPr>
                <w:b/>
                <w:sz w:val="23"/>
                <w:szCs w:val="23"/>
              </w:rPr>
            </w:pPr>
            <w:r>
              <w:rPr>
                <w:b/>
                <w:sz w:val="23"/>
                <w:szCs w:val="23"/>
              </w:rPr>
              <w:lastRenderedPageBreak/>
              <w:t>Н/П</w:t>
            </w:r>
          </w:p>
        </w:tc>
        <w:tc>
          <w:tcPr>
            <w:tcW w:w="3489" w:type="dxa"/>
            <w:tcBorders>
              <w:top w:val="single" w:sz="12" w:space="0" w:color="2E74B5"/>
              <w:left w:val="single" w:sz="12" w:space="0" w:color="2E74B5"/>
              <w:bottom w:val="single" w:sz="12" w:space="0" w:color="2E74B5"/>
              <w:right w:val="single" w:sz="24" w:space="0" w:color="2E74B5"/>
            </w:tcBorders>
            <w:shd w:val="clear" w:color="auto" w:fill="auto"/>
            <w:vAlign w:val="center"/>
          </w:tcPr>
          <w:p w14:paraId="62C528BA" w14:textId="77777777" w:rsidR="00BF0CF5" w:rsidRPr="000C1142" w:rsidRDefault="00BF0CF5" w:rsidP="00BF0CF5">
            <w:pPr>
              <w:jc w:val="center"/>
              <w:rPr>
                <w:b/>
                <w:sz w:val="23"/>
                <w:szCs w:val="23"/>
              </w:rPr>
            </w:pPr>
            <w:r>
              <w:rPr>
                <w:b/>
                <w:sz w:val="23"/>
                <w:szCs w:val="23"/>
              </w:rPr>
              <w:t>Н/П</w:t>
            </w:r>
          </w:p>
        </w:tc>
      </w:tr>
    </w:tbl>
    <w:p w14:paraId="3D51E8E5" w14:textId="77777777" w:rsidR="00E96851" w:rsidRPr="00233C04" w:rsidRDefault="00E96851" w:rsidP="00133A14">
      <w:pPr>
        <w:rPr>
          <w:color w:val="FF0000"/>
          <w:sz w:val="23"/>
          <w:szCs w:val="23"/>
        </w:rPr>
      </w:pPr>
      <w:bookmarkStart w:id="0" w:name="_GoBack"/>
      <w:bookmarkEnd w:id="0"/>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7F4E" w14:textId="77777777" w:rsidR="005012A5" w:rsidRDefault="005012A5">
      <w:r>
        <w:separator/>
      </w:r>
    </w:p>
  </w:endnote>
  <w:endnote w:type="continuationSeparator" w:id="0">
    <w:p w14:paraId="13937286" w14:textId="77777777" w:rsidR="005012A5" w:rsidRDefault="0050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BB56"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DB2F9" w14:textId="77777777"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384E" w14:textId="0D7CF9DD"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750">
      <w:rPr>
        <w:rStyle w:val="PageNumber"/>
        <w:noProof/>
      </w:rPr>
      <w:t>2</w:t>
    </w:r>
    <w:r>
      <w:rPr>
        <w:rStyle w:val="PageNumber"/>
      </w:rPr>
      <w:fldChar w:fldCharType="end"/>
    </w:r>
  </w:p>
  <w:p w14:paraId="7BFDD2A9"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C76C" w14:textId="77777777" w:rsidR="005012A5" w:rsidRDefault="005012A5">
      <w:r>
        <w:separator/>
      </w:r>
    </w:p>
  </w:footnote>
  <w:footnote w:type="continuationSeparator" w:id="0">
    <w:p w14:paraId="0426D57D" w14:textId="77777777" w:rsidR="005012A5" w:rsidRDefault="0050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0D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1142"/>
    <w:rsid w:val="000C46A7"/>
    <w:rsid w:val="000C5E61"/>
    <w:rsid w:val="000D4198"/>
    <w:rsid w:val="000E2C94"/>
    <w:rsid w:val="000E3570"/>
    <w:rsid w:val="000E54DA"/>
    <w:rsid w:val="000F02C5"/>
    <w:rsid w:val="000F31C8"/>
    <w:rsid w:val="000F3490"/>
    <w:rsid w:val="0010687D"/>
    <w:rsid w:val="001143E4"/>
    <w:rsid w:val="0011484F"/>
    <w:rsid w:val="00115EDD"/>
    <w:rsid w:val="00120ABA"/>
    <w:rsid w:val="00127CB7"/>
    <w:rsid w:val="00133A14"/>
    <w:rsid w:val="00134E1D"/>
    <w:rsid w:val="0013629D"/>
    <w:rsid w:val="00141BFB"/>
    <w:rsid w:val="00144034"/>
    <w:rsid w:val="001440FE"/>
    <w:rsid w:val="0014437A"/>
    <w:rsid w:val="00155CAF"/>
    <w:rsid w:val="001668E1"/>
    <w:rsid w:val="00175004"/>
    <w:rsid w:val="00177AA6"/>
    <w:rsid w:val="001808B4"/>
    <w:rsid w:val="0018509E"/>
    <w:rsid w:val="001922F1"/>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2C9F"/>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B4750"/>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3EEC"/>
    <w:rsid w:val="004361F2"/>
    <w:rsid w:val="004376C2"/>
    <w:rsid w:val="004427B2"/>
    <w:rsid w:val="00442824"/>
    <w:rsid w:val="004444E8"/>
    <w:rsid w:val="00446EC1"/>
    <w:rsid w:val="0045180F"/>
    <w:rsid w:val="00452217"/>
    <w:rsid w:val="00453C28"/>
    <w:rsid w:val="00453E85"/>
    <w:rsid w:val="00455D0B"/>
    <w:rsid w:val="0046759A"/>
    <w:rsid w:val="0046763E"/>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2A5"/>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4683"/>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1E93"/>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A492C"/>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43FEC"/>
    <w:rsid w:val="00952D0A"/>
    <w:rsid w:val="00953FD7"/>
    <w:rsid w:val="009551F9"/>
    <w:rsid w:val="00960584"/>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2BC4"/>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5596"/>
    <w:rsid w:val="00B87124"/>
    <w:rsid w:val="00B948D2"/>
    <w:rsid w:val="00B95C7B"/>
    <w:rsid w:val="00BA0CD5"/>
    <w:rsid w:val="00BA478A"/>
    <w:rsid w:val="00BA66F5"/>
    <w:rsid w:val="00BA726F"/>
    <w:rsid w:val="00BD068F"/>
    <w:rsid w:val="00BD0FA0"/>
    <w:rsid w:val="00BD2B98"/>
    <w:rsid w:val="00BD7BD3"/>
    <w:rsid w:val="00BE0D0E"/>
    <w:rsid w:val="00BE395D"/>
    <w:rsid w:val="00BE482D"/>
    <w:rsid w:val="00BF0159"/>
    <w:rsid w:val="00BF0CF5"/>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5D2B"/>
    <w:rsid w:val="00C86431"/>
    <w:rsid w:val="00C9316D"/>
    <w:rsid w:val="00C975B4"/>
    <w:rsid w:val="00C97FB9"/>
    <w:rsid w:val="00CA155E"/>
    <w:rsid w:val="00CA1680"/>
    <w:rsid w:val="00CA2E10"/>
    <w:rsid w:val="00CA7999"/>
    <w:rsid w:val="00CB4E0C"/>
    <w:rsid w:val="00CB56B5"/>
    <w:rsid w:val="00CB6814"/>
    <w:rsid w:val="00CD1405"/>
    <w:rsid w:val="00CE3610"/>
    <w:rsid w:val="00CF24CD"/>
    <w:rsid w:val="00CF5221"/>
    <w:rsid w:val="00CF5822"/>
    <w:rsid w:val="00CF5A9B"/>
    <w:rsid w:val="00CF61A2"/>
    <w:rsid w:val="00CF6672"/>
    <w:rsid w:val="00D03A5F"/>
    <w:rsid w:val="00D11588"/>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4DFD"/>
    <w:rsid w:val="00E67755"/>
    <w:rsid w:val="00E72CDA"/>
    <w:rsid w:val="00E73E0D"/>
    <w:rsid w:val="00E76BD1"/>
    <w:rsid w:val="00E7793E"/>
    <w:rsid w:val="00E7794B"/>
    <w:rsid w:val="00E804F0"/>
    <w:rsid w:val="00E8474D"/>
    <w:rsid w:val="00E858FB"/>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27E7"/>
    <w:rsid w:val="00F54AC6"/>
    <w:rsid w:val="00F5674A"/>
    <w:rsid w:val="00F61E91"/>
    <w:rsid w:val="00F6525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743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 w:type="character" w:styleId="CommentReference">
    <w:name w:val="annotation reference"/>
    <w:basedOn w:val="DefaultParagraphFont"/>
    <w:rsid w:val="00127CB7"/>
    <w:rPr>
      <w:sz w:val="16"/>
      <w:szCs w:val="16"/>
    </w:rPr>
  </w:style>
  <w:style w:type="paragraph" w:styleId="CommentText">
    <w:name w:val="annotation text"/>
    <w:basedOn w:val="Normal"/>
    <w:link w:val="CommentTextChar"/>
    <w:rsid w:val="00127CB7"/>
    <w:rPr>
      <w:sz w:val="20"/>
      <w:szCs w:val="20"/>
    </w:rPr>
  </w:style>
  <w:style w:type="character" w:customStyle="1" w:styleId="CommentTextChar">
    <w:name w:val="Comment Text Char"/>
    <w:basedOn w:val="DefaultParagraphFont"/>
    <w:link w:val="CommentText"/>
    <w:rsid w:val="00127CB7"/>
    <w:rPr>
      <w:lang w:val="bg-BG" w:eastAsia="bg-BG"/>
    </w:rPr>
  </w:style>
  <w:style w:type="paragraph" w:styleId="CommentSubject">
    <w:name w:val="annotation subject"/>
    <w:basedOn w:val="CommentText"/>
    <w:next w:val="CommentText"/>
    <w:link w:val="CommentSubjectChar"/>
    <w:rsid w:val="00127CB7"/>
    <w:rPr>
      <w:b/>
      <w:bCs/>
    </w:rPr>
  </w:style>
  <w:style w:type="character" w:customStyle="1" w:styleId="CommentSubjectChar">
    <w:name w:val="Comment Subject Char"/>
    <w:basedOn w:val="CommentTextChar"/>
    <w:link w:val="CommentSubject"/>
    <w:rsid w:val="00127CB7"/>
    <w:rPr>
      <w:b/>
      <w:bCs/>
      <w:lang w:val="bg-BG" w:eastAsia="bg-BG"/>
    </w:rPr>
  </w:style>
  <w:style w:type="character" w:styleId="FollowedHyperlink">
    <w:name w:val="FollowedHyperlink"/>
    <w:basedOn w:val="DefaultParagraphFont"/>
    <w:rsid w:val="00574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10691514">
      <w:bodyDiv w:val="1"/>
      <w:marLeft w:val="0"/>
      <w:marRight w:val="0"/>
      <w:marTop w:val="0"/>
      <w:marBottom w:val="0"/>
      <w:divBdr>
        <w:top w:val="none" w:sz="0" w:space="0" w:color="auto"/>
        <w:left w:val="none" w:sz="0" w:space="0" w:color="auto"/>
        <w:bottom w:val="none" w:sz="0" w:space="0" w:color="auto"/>
        <w:right w:val="none" w:sz="0" w:space="0" w:color="auto"/>
      </w:divBdr>
    </w:div>
    <w:div w:id="7171715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8044275">
      <w:bodyDiv w:val="1"/>
      <w:marLeft w:val="0"/>
      <w:marRight w:val="0"/>
      <w:marTop w:val="0"/>
      <w:marBottom w:val="0"/>
      <w:divBdr>
        <w:top w:val="none" w:sz="0" w:space="0" w:color="auto"/>
        <w:left w:val="none" w:sz="0" w:space="0" w:color="auto"/>
        <w:bottom w:val="none" w:sz="0" w:space="0" w:color="auto"/>
        <w:right w:val="none" w:sz="0" w:space="0" w:color="auto"/>
      </w:divBdr>
    </w:div>
    <w:div w:id="1302927653">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05DA-2FD3-419F-BC71-E1823176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2022-07-18T11:04:00Z</dcterms:created>
  <dcterms:modified xsi:type="dcterms:W3CDTF">2022-07-18T11:04:00Z</dcterms:modified>
</cp:coreProperties>
</file>